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A56" w:rsidRPr="000E1418" w:rsidRDefault="00C36A56" w:rsidP="00C36A56">
      <w:r w:rsidRPr="000E1418">
        <w:t>Ian C. Strachan</w:t>
      </w:r>
    </w:p>
    <w:p w:rsidR="00C36A56" w:rsidRDefault="00C36A56" w:rsidP="00C36A56">
      <w:r>
        <w:t>Chairman of the Board of Directors</w:t>
      </w:r>
    </w:p>
    <w:p w:rsidR="00C36A56" w:rsidRDefault="00C36A56" w:rsidP="00C36A56">
      <w:r>
        <w:t>Transocean Ltd.</w:t>
      </w:r>
    </w:p>
    <w:p w:rsidR="00C36A56" w:rsidRDefault="00C36A56" w:rsidP="00C36A56"/>
    <w:p w:rsidR="00C36A56" w:rsidRDefault="00C36A56" w:rsidP="00C36A56">
      <w:r>
        <w:t xml:space="preserve">Age 69, U.K. and U.S. citizen, has served as a director of the Company since 1999. Mr. Strachan is a director of Caithness Petroleum Ltd. (since 2008), Xstrata plc (LON: XTA) (since 2003), and Rolls Royce Group plc (LON: RR) (since 2003). He served as a director of Johnson Matthey plc from 2002 to 2009 and as Chairman of the Board of Instinet Group Incorporated from 2003 to 2005. Mr. Strachan served as Chief Executive Officer of BTR plc from 1996 until 1999. </w:t>
      </w:r>
    </w:p>
    <w:p w:rsidR="009A7331" w:rsidRDefault="009A7331" w:rsidP="00C36A56">
      <w:bookmarkStart w:id="0" w:name="_GoBack"/>
      <w:bookmarkEnd w:id="0"/>
    </w:p>
    <w:p w:rsidR="00C36A56" w:rsidRDefault="00C36A56" w:rsidP="00C36A56">
      <w:r>
        <w:t>From 1987 to 1995, Mr. Strachan was with Rio Tinto plc, serving as Chief Financial Officer from 1987 to 1991 and as Deputy Chief Executive Officer from 1991 to 1995. He was employed by Exxon Corporation from 1970 to 1986. Mr. Strachan received his Master of Arts in History in 1965 from Christ’s College, Cambridge University, and his Master of Public Affairs in 1967 from the Woodrow Wilson School, Princeton University and was a teaching fellow and Ph.D. candidate at Harvard University from 1969 to 1970.</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56"/>
    <w:rsid w:val="000E1418"/>
    <w:rsid w:val="005136A2"/>
    <w:rsid w:val="009A7331"/>
    <w:rsid w:val="00C3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2</cp:revision>
  <dcterms:created xsi:type="dcterms:W3CDTF">2013-07-09T18:17:00Z</dcterms:created>
  <dcterms:modified xsi:type="dcterms:W3CDTF">2013-07-09T18:17:00Z</dcterms:modified>
</cp:coreProperties>
</file>